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9A" w:rsidRDefault="00067C9A" w:rsidP="00067C9A">
      <w:pPr>
        <w:spacing w:after="0"/>
      </w:pPr>
      <w:bookmarkStart w:id="0" w:name="_GoBack"/>
      <w:bookmarkEnd w:id="0"/>
      <w:r>
        <w:t>Spring 2014</w:t>
      </w:r>
      <w:r>
        <w:tab/>
      </w:r>
      <w:r>
        <w:tab/>
        <w:t xml:space="preserve">                                                                                                 </w:t>
      </w:r>
      <w:r>
        <w:tab/>
      </w:r>
      <w:r>
        <w:tab/>
        <w:t>Dr. Erturk</w:t>
      </w:r>
    </w:p>
    <w:p w:rsidR="00067C9A" w:rsidRDefault="00067C9A" w:rsidP="00067C9A">
      <w:pPr>
        <w:spacing w:after="0"/>
      </w:pPr>
      <w:r>
        <w:t xml:space="preserve">University of Utah           </w:t>
      </w:r>
      <w:r>
        <w:tab/>
        <w:t xml:space="preserve">                                                                             </w:t>
      </w:r>
      <w:r>
        <w:tab/>
        <w:t xml:space="preserve"> Office: OSH – 354</w:t>
      </w:r>
    </w:p>
    <w:p w:rsidR="00067C9A" w:rsidRDefault="00067C9A" w:rsidP="00067C9A">
      <w:pPr>
        <w:spacing w:after="0"/>
      </w:pPr>
      <w:r>
        <w:tab/>
      </w:r>
      <w:r>
        <w:tab/>
      </w:r>
      <w:r>
        <w:tab/>
      </w:r>
      <w:r>
        <w:tab/>
      </w:r>
      <w:r>
        <w:tab/>
      </w:r>
      <w:r>
        <w:tab/>
      </w:r>
      <w:r>
        <w:tab/>
      </w:r>
      <w:r>
        <w:tab/>
      </w:r>
      <w:r>
        <w:tab/>
        <w:t xml:space="preserve">   </w:t>
      </w:r>
      <w:r>
        <w:tab/>
        <w:t xml:space="preserve">         </w:t>
      </w:r>
      <w:proofErr w:type="spellStart"/>
      <w:r>
        <w:t>Hrs</w:t>
      </w:r>
      <w:proofErr w:type="spellEnd"/>
      <w:r>
        <w:t xml:space="preserve">: </w:t>
      </w:r>
      <w:proofErr w:type="gramStart"/>
      <w:r>
        <w:t>T</w:t>
      </w:r>
      <w:r w:rsidR="000568FB">
        <w:t xml:space="preserve">  </w:t>
      </w:r>
      <w:r>
        <w:t>1</w:t>
      </w:r>
      <w:proofErr w:type="gramEnd"/>
      <w:r>
        <w:t xml:space="preserve">-2pm </w:t>
      </w:r>
    </w:p>
    <w:p w:rsidR="00067C9A" w:rsidRDefault="00067C9A" w:rsidP="00067C9A">
      <w:pPr>
        <w:spacing w:after="0"/>
      </w:pPr>
    </w:p>
    <w:p w:rsidR="00067C9A" w:rsidRDefault="00067C9A" w:rsidP="00067C9A">
      <w:pPr>
        <w:spacing w:after="0"/>
      </w:pPr>
    </w:p>
    <w:p w:rsidR="00067C9A" w:rsidRPr="00067C9A" w:rsidRDefault="00067C9A" w:rsidP="00067C9A">
      <w:pPr>
        <w:spacing w:after="0"/>
        <w:jc w:val="center"/>
        <w:rPr>
          <w:b/>
          <w:sz w:val="28"/>
          <w:szCs w:val="28"/>
        </w:rPr>
      </w:pPr>
      <w:r w:rsidRPr="00067C9A">
        <w:rPr>
          <w:b/>
          <w:sz w:val="28"/>
          <w:szCs w:val="28"/>
        </w:rPr>
        <w:t>ECON 7021: International Economics II</w:t>
      </w:r>
    </w:p>
    <w:p w:rsidR="00067C9A" w:rsidRDefault="00067C9A" w:rsidP="00067C9A">
      <w:pPr>
        <w:spacing w:after="0"/>
      </w:pPr>
      <w:r>
        <w:t xml:space="preserve">                                          </w:t>
      </w:r>
    </w:p>
    <w:p w:rsidR="00BF05B8" w:rsidRDefault="00E80F6E" w:rsidP="00E80F6E">
      <w:r>
        <w:t>The course begins with an overview of credit money and financial macroeconomics</w:t>
      </w:r>
      <w:r w:rsidR="000568FB">
        <w:t xml:space="preserve"> and proceeds to a critical discussion of different open economy macroeconomic models. Different historical periods since the gold standard are then discussed with the aid of these analytical tools of analysis, with greater emphasis placed on </w:t>
      </w:r>
      <w:r w:rsidR="00381F50">
        <w:t xml:space="preserve">developments in </w:t>
      </w:r>
      <w:r w:rsidR="000568FB">
        <w:t>the post-Bretton Woods Era. The course ends with a</w:t>
      </w:r>
      <w:r w:rsidR="00381F50">
        <w:t xml:space="preserve">n assessment </w:t>
      </w:r>
      <w:r w:rsidR="000568FB">
        <w:t xml:space="preserve">of the </w:t>
      </w:r>
      <w:r w:rsidR="00381F50">
        <w:t xml:space="preserve">challenges world economy faces in the post crisis environment </w:t>
      </w:r>
      <w:r w:rsidR="000568FB">
        <w:t xml:space="preserve">and a review of </w:t>
      </w:r>
      <w:r w:rsidR="00381F50">
        <w:t xml:space="preserve">current </w:t>
      </w:r>
      <w:r w:rsidR="000568FB">
        <w:t>policy and reform proposals.</w:t>
      </w:r>
    </w:p>
    <w:p w:rsidR="00E80F6E" w:rsidRDefault="000568FB" w:rsidP="00E80F6E">
      <w:r>
        <w:t xml:space="preserve">Full citations for readings are indicated in the course outline below except for chapters from following books: </w:t>
      </w:r>
    </w:p>
    <w:p w:rsidR="0078582D" w:rsidRDefault="0078582D" w:rsidP="000568FB">
      <w:pPr>
        <w:spacing w:after="0"/>
        <w:ind w:left="720"/>
      </w:pPr>
      <w:proofErr w:type="spellStart"/>
      <w:r>
        <w:t>Blecker</w:t>
      </w:r>
      <w:proofErr w:type="spellEnd"/>
      <w:r>
        <w:t>, R.</w:t>
      </w:r>
      <w:r w:rsidR="0000058D">
        <w:t xml:space="preserve"> </w:t>
      </w:r>
      <w:r w:rsidR="00CB0287">
        <w:t>-</w:t>
      </w:r>
      <w:r w:rsidRPr="0078582D">
        <w:rPr>
          <w:i/>
        </w:rPr>
        <w:t>Taming Global Finance</w:t>
      </w:r>
    </w:p>
    <w:p w:rsidR="0078582D" w:rsidRDefault="0078582D" w:rsidP="000568FB">
      <w:pPr>
        <w:spacing w:after="0"/>
        <w:ind w:left="720"/>
      </w:pPr>
      <w:proofErr w:type="spellStart"/>
      <w:r>
        <w:t>Eatwell</w:t>
      </w:r>
      <w:proofErr w:type="spellEnd"/>
      <w:r>
        <w:t xml:space="preserve">, J. &amp; L. Taylor </w:t>
      </w:r>
      <w:r w:rsidR="00CB0287">
        <w:t>-</w:t>
      </w:r>
      <w:r>
        <w:t xml:space="preserve"> </w:t>
      </w:r>
      <w:r w:rsidRPr="00F722E0">
        <w:rPr>
          <w:i/>
        </w:rPr>
        <w:t>Global Finance at Risk</w:t>
      </w:r>
    </w:p>
    <w:p w:rsidR="00BF05B8" w:rsidRDefault="0000058D" w:rsidP="000568FB">
      <w:pPr>
        <w:spacing w:after="0"/>
        <w:ind w:left="720"/>
      </w:pPr>
      <w:proofErr w:type="spellStart"/>
      <w:r>
        <w:t>Hallwood</w:t>
      </w:r>
      <w:proofErr w:type="spellEnd"/>
      <w:r>
        <w:t xml:space="preserve">, C. &amp; R. MacDonald </w:t>
      </w:r>
      <w:r w:rsidR="00CB0287">
        <w:t>-</w:t>
      </w:r>
      <w:r>
        <w:t xml:space="preserve"> </w:t>
      </w:r>
      <w:r w:rsidRPr="00CB0287">
        <w:rPr>
          <w:i/>
        </w:rPr>
        <w:t>International Money and Finance</w:t>
      </w:r>
    </w:p>
    <w:p w:rsidR="0000058D" w:rsidRDefault="0000058D" w:rsidP="000568FB">
      <w:pPr>
        <w:spacing w:after="0"/>
        <w:ind w:left="720"/>
      </w:pPr>
      <w:r>
        <w:t xml:space="preserve">Keynes, J.M. </w:t>
      </w:r>
      <w:r w:rsidR="00CB0287">
        <w:t>-</w:t>
      </w:r>
      <w:r>
        <w:t xml:space="preserve"> </w:t>
      </w:r>
      <w:r w:rsidRPr="00CB0287">
        <w:rPr>
          <w:i/>
        </w:rPr>
        <w:t>A Treatise on Money</w:t>
      </w:r>
    </w:p>
    <w:p w:rsidR="00CB0287" w:rsidRDefault="00CB0287" w:rsidP="000568FB">
      <w:pPr>
        <w:spacing w:after="0"/>
        <w:ind w:left="720"/>
      </w:pPr>
      <w:proofErr w:type="spellStart"/>
      <w:r>
        <w:t>Minsky</w:t>
      </w:r>
      <w:proofErr w:type="spellEnd"/>
      <w:r>
        <w:t xml:space="preserve">, H. – </w:t>
      </w:r>
      <w:r w:rsidRPr="00CB0287">
        <w:rPr>
          <w:i/>
        </w:rPr>
        <w:t xml:space="preserve">Stabilizing </w:t>
      </w:r>
      <w:proofErr w:type="gramStart"/>
      <w:r w:rsidRPr="00CB0287">
        <w:rPr>
          <w:i/>
        </w:rPr>
        <w:t>An</w:t>
      </w:r>
      <w:proofErr w:type="gramEnd"/>
      <w:r w:rsidRPr="00CB0287">
        <w:rPr>
          <w:i/>
        </w:rPr>
        <w:t xml:space="preserve"> Unstable Economy</w:t>
      </w:r>
    </w:p>
    <w:p w:rsidR="0000058D" w:rsidRDefault="0000058D" w:rsidP="000568FB">
      <w:pPr>
        <w:spacing w:after="0"/>
        <w:ind w:left="720"/>
      </w:pPr>
      <w:r>
        <w:t xml:space="preserve">Temin, P. &amp; D. Vines </w:t>
      </w:r>
      <w:r w:rsidR="00CB0287">
        <w:t>-</w:t>
      </w:r>
      <w:r>
        <w:t xml:space="preserve"> </w:t>
      </w:r>
      <w:r w:rsidRPr="00CB0287">
        <w:rPr>
          <w:i/>
        </w:rPr>
        <w:t>The Leaderless Economy</w:t>
      </w:r>
    </w:p>
    <w:p w:rsidR="00BF05B8" w:rsidRDefault="00256178" w:rsidP="000568FB">
      <w:pPr>
        <w:spacing w:after="0"/>
        <w:ind w:left="720"/>
      </w:pPr>
      <w:proofErr w:type="spellStart"/>
      <w:r>
        <w:t>Knoop</w:t>
      </w:r>
      <w:proofErr w:type="spellEnd"/>
      <w:r>
        <w:t xml:space="preserve">, T. – </w:t>
      </w:r>
      <w:r w:rsidRPr="00381F50">
        <w:rPr>
          <w:i/>
        </w:rPr>
        <w:t>Modern Financial Macroeconomics</w:t>
      </w:r>
    </w:p>
    <w:p w:rsidR="00BF05B8" w:rsidRDefault="00BF05B8"/>
    <w:p w:rsidR="00067C9A" w:rsidRDefault="000568FB">
      <w:r>
        <w:t>Course grade will be based on two midterms and a final exam.</w:t>
      </w:r>
    </w:p>
    <w:p w:rsidR="000568FB" w:rsidRDefault="000568FB"/>
    <w:p w:rsidR="00494A49" w:rsidRDefault="00494A49" w:rsidP="000568FB">
      <w:pPr>
        <w:spacing w:after="360"/>
        <w:jc w:val="center"/>
        <w:rPr>
          <w:sz w:val="28"/>
          <w:szCs w:val="28"/>
          <w:u w:val="single"/>
        </w:rPr>
      </w:pPr>
      <w:r w:rsidRPr="00067C9A">
        <w:rPr>
          <w:sz w:val="28"/>
          <w:szCs w:val="28"/>
          <w:u w:val="single"/>
        </w:rPr>
        <w:t>Course Outline</w:t>
      </w:r>
    </w:p>
    <w:p w:rsidR="006D32DF" w:rsidRPr="00067C9A" w:rsidRDefault="00C5240B" w:rsidP="00494A49">
      <w:pPr>
        <w:pStyle w:val="ListParagraph"/>
        <w:numPr>
          <w:ilvl w:val="0"/>
          <w:numId w:val="5"/>
        </w:numPr>
        <w:rPr>
          <w:sz w:val="24"/>
          <w:szCs w:val="24"/>
        </w:rPr>
      </w:pPr>
      <w:r w:rsidRPr="00067C9A">
        <w:rPr>
          <w:sz w:val="24"/>
          <w:szCs w:val="24"/>
        </w:rPr>
        <w:t>Review of Monetary Theory</w:t>
      </w:r>
      <w:r w:rsidR="00256178" w:rsidRPr="00067C9A">
        <w:rPr>
          <w:sz w:val="24"/>
          <w:szCs w:val="24"/>
        </w:rPr>
        <w:t xml:space="preserve"> and Introduction to International Economics</w:t>
      </w:r>
    </w:p>
    <w:p w:rsidR="00256178" w:rsidRDefault="00256178" w:rsidP="00067C9A">
      <w:pPr>
        <w:spacing w:after="0"/>
        <w:ind w:left="1440"/>
      </w:pPr>
      <w:proofErr w:type="spellStart"/>
      <w:r>
        <w:t>Knoop</w:t>
      </w:r>
      <w:proofErr w:type="spellEnd"/>
      <w:r>
        <w:t xml:space="preserve"> – </w:t>
      </w:r>
      <w:proofErr w:type="spellStart"/>
      <w:r>
        <w:t>Chps</w:t>
      </w:r>
      <w:proofErr w:type="spellEnd"/>
      <w:r>
        <w:t>.</w:t>
      </w:r>
      <w:r w:rsidR="00A00598">
        <w:t xml:space="preserve"> 5 - 8</w:t>
      </w:r>
    </w:p>
    <w:p w:rsidR="00256178" w:rsidRDefault="00256178" w:rsidP="00067C9A">
      <w:pPr>
        <w:spacing w:after="0"/>
        <w:ind w:left="1440"/>
      </w:pPr>
      <w:proofErr w:type="spellStart"/>
      <w:r>
        <w:t>Minsky</w:t>
      </w:r>
      <w:proofErr w:type="spellEnd"/>
      <w:r>
        <w:t xml:space="preserve"> – </w:t>
      </w:r>
      <w:proofErr w:type="spellStart"/>
      <w:r>
        <w:t>Chps</w:t>
      </w:r>
      <w:proofErr w:type="spellEnd"/>
      <w:r>
        <w:t>. 5 and 6</w:t>
      </w:r>
    </w:p>
    <w:p w:rsidR="00256178" w:rsidRDefault="00256178" w:rsidP="00067C9A">
      <w:pPr>
        <w:spacing w:after="0"/>
        <w:ind w:left="1440"/>
        <w:rPr>
          <w:rFonts w:cstheme="minorHAnsi"/>
          <w:sz w:val="24"/>
          <w:szCs w:val="24"/>
        </w:rPr>
      </w:pPr>
      <w:proofErr w:type="spellStart"/>
      <w:r>
        <w:t>Hallwood</w:t>
      </w:r>
      <w:proofErr w:type="spellEnd"/>
      <w:r>
        <w:t xml:space="preserve">, C. &amp; R. MacDonald – </w:t>
      </w:r>
      <w:proofErr w:type="spellStart"/>
      <w:r>
        <w:t>Chps</w:t>
      </w:r>
      <w:proofErr w:type="spellEnd"/>
      <w:r>
        <w:t>. 2 - 4</w:t>
      </w:r>
    </w:p>
    <w:p w:rsidR="00256178" w:rsidRDefault="00256178" w:rsidP="00256178">
      <w:pPr>
        <w:rPr>
          <w:rFonts w:cstheme="minorHAnsi"/>
          <w:sz w:val="24"/>
          <w:szCs w:val="24"/>
        </w:rPr>
      </w:pPr>
    </w:p>
    <w:p w:rsidR="00256178" w:rsidRPr="00494A49" w:rsidRDefault="00256178" w:rsidP="00494A49">
      <w:pPr>
        <w:pStyle w:val="ListParagraph"/>
        <w:numPr>
          <w:ilvl w:val="0"/>
          <w:numId w:val="5"/>
        </w:numPr>
        <w:rPr>
          <w:rFonts w:cstheme="minorHAnsi"/>
          <w:sz w:val="24"/>
          <w:szCs w:val="24"/>
        </w:rPr>
      </w:pPr>
      <w:r w:rsidRPr="00494A49">
        <w:rPr>
          <w:rFonts w:cstheme="minorHAnsi"/>
          <w:sz w:val="24"/>
          <w:szCs w:val="24"/>
        </w:rPr>
        <w:t>Open Economy Macroeconomics</w:t>
      </w:r>
    </w:p>
    <w:p w:rsidR="00256178" w:rsidRPr="00067C9A" w:rsidRDefault="00256178" w:rsidP="00067C9A">
      <w:pPr>
        <w:spacing w:after="0"/>
        <w:ind w:left="1440"/>
        <w:rPr>
          <w:rFonts w:cstheme="minorHAnsi"/>
        </w:rPr>
      </w:pPr>
      <w:proofErr w:type="spellStart"/>
      <w:r w:rsidRPr="00067C9A">
        <w:rPr>
          <w:rFonts w:cstheme="minorHAnsi"/>
        </w:rPr>
        <w:t>Blecker</w:t>
      </w:r>
      <w:proofErr w:type="spellEnd"/>
      <w:r w:rsidRPr="00067C9A">
        <w:rPr>
          <w:rFonts w:cstheme="minorHAnsi"/>
        </w:rPr>
        <w:t xml:space="preserve"> – </w:t>
      </w:r>
      <w:proofErr w:type="spellStart"/>
      <w:r w:rsidRPr="00067C9A">
        <w:rPr>
          <w:rFonts w:cstheme="minorHAnsi"/>
        </w:rPr>
        <w:t>Chp</w:t>
      </w:r>
      <w:proofErr w:type="spellEnd"/>
      <w:r w:rsidRPr="00067C9A">
        <w:rPr>
          <w:rFonts w:cstheme="minorHAnsi"/>
        </w:rPr>
        <w:t xml:space="preserve">. 2 </w:t>
      </w:r>
    </w:p>
    <w:p w:rsidR="00256178" w:rsidRPr="00067C9A" w:rsidRDefault="00256178" w:rsidP="00067C9A">
      <w:pPr>
        <w:spacing w:after="0"/>
        <w:ind w:left="1440"/>
        <w:rPr>
          <w:rFonts w:cstheme="minorHAnsi"/>
        </w:rPr>
      </w:pPr>
      <w:proofErr w:type="spellStart"/>
      <w:r w:rsidRPr="00067C9A">
        <w:t>Hallwood</w:t>
      </w:r>
      <w:proofErr w:type="spellEnd"/>
      <w:r w:rsidRPr="00067C9A">
        <w:t xml:space="preserve">, C. &amp; R. MacDonald – </w:t>
      </w:r>
      <w:proofErr w:type="spellStart"/>
      <w:r w:rsidRPr="00067C9A">
        <w:t>Chps</w:t>
      </w:r>
      <w:proofErr w:type="spellEnd"/>
      <w:r w:rsidRPr="00067C9A">
        <w:t>. 5 - 9</w:t>
      </w:r>
    </w:p>
    <w:p w:rsidR="00256178" w:rsidRPr="00067C9A" w:rsidRDefault="00256178" w:rsidP="00067C9A">
      <w:pPr>
        <w:spacing w:after="0"/>
        <w:ind w:left="1440"/>
        <w:rPr>
          <w:rFonts w:cstheme="minorHAnsi"/>
        </w:rPr>
      </w:pPr>
      <w:r w:rsidRPr="00067C9A">
        <w:rPr>
          <w:rFonts w:cstheme="minorHAnsi"/>
        </w:rPr>
        <w:lastRenderedPageBreak/>
        <w:t xml:space="preserve">Keynes – </w:t>
      </w:r>
      <w:proofErr w:type="spellStart"/>
      <w:r w:rsidRPr="00067C9A">
        <w:rPr>
          <w:rFonts w:cstheme="minorHAnsi"/>
        </w:rPr>
        <w:t>Chps</w:t>
      </w:r>
      <w:proofErr w:type="spellEnd"/>
      <w:r w:rsidRPr="00067C9A">
        <w:rPr>
          <w:rFonts w:cstheme="minorHAnsi"/>
        </w:rPr>
        <w:t xml:space="preserve">. </w:t>
      </w:r>
      <w:r w:rsidR="00D1574A" w:rsidRPr="00067C9A">
        <w:rPr>
          <w:rFonts w:cstheme="minorHAnsi"/>
        </w:rPr>
        <w:t>21,</w:t>
      </w:r>
      <w:r w:rsidRPr="00067C9A">
        <w:rPr>
          <w:rFonts w:cstheme="minorHAnsi"/>
        </w:rPr>
        <w:t>31,34,35, 38</w:t>
      </w:r>
    </w:p>
    <w:p w:rsidR="00D1574A" w:rsidRPr="00067C9A" w:rsidRDefault="00504573" w:rsidP="00067C9A">
      <w:pPr>
        <w:spacing w:after="0"/>
        <w:ind w:left="1980" w:hanging="540"/>
        <w:rPr>
          <w:rFonts w:cstheme="minorHAnsi"/>
        </w:rPr>
      </w:pPr>
      <w:proofErr w:type="spellStart"/>
      <w:r w:rsidRPr="00067C9A">
        <w:rPr>
          <w:rFonts w:cstheme="minorHAnsi"/>
        </w:rPr>
        <w:t>Polak</w:t>
      </w:r>
      <w:proofErr w:type="spellEnd"/>
      <w:r w:rsidRPr="00067C9A">
        <w:rPr>
          <w:rFonts w:cstheme="minorHAnsi"/>
        </w:rPr>
        <w:t xml:space="preserve">, J. (1977). “Monetary Analysis of Income Formation and Payment Problems,” in </w:t>
      </w:r>
      <w:proofErr w:type="gramStart"/>
      <w:r w:rsidRPr="00067C9A">
        <w:rPr>
          <w:rFonts w:cstheme="minorHAnsi"/>
          <w:i/>
        </w:rPr>
        <w:t>The</w:t>
      </w:r>
      <w:proofErr w:type="gramEnd"/>
      <w:r w:rsidRPr="00067C9A">
        <w:rPr>
          <w:rFonts w:cstheme="minorHAnsi"/>
          <w:i/>
        </w:rPr>
        <w:t xml:space="preserve"> Monetary Approach to Balance of Payments</w:t>
      </w:r>
      <w:r w:rsidRPr="00067C9A">
        <w:rPr>
          <w:rFonts w:cstheme="minorHAnsi"/>
        </w:rPr>
        <w:t>. IMF</w:t>
      </w:r>
    </w:p>
    <w:p w:rsidR="00504573" w:rsidRDefault="00504573" w:rsidP="00067C9A">
      <w:pPr>
        <w:ind w:hanging="540"/>
        <w:rPr>
          <w:rFonts w:cstheme="minorHAnsi"/>
          <w:sz w:val="24"/>
          <w:szCs w:val="24"/>
        </w:rPr>
      </w:pPr>
    </w:p>
    <w:p w:rsidR="00D1574A" w:rsidRPr="00494A49" w:rsidRDefault="00D1574A" w:rsidP="00494A49">
      <w:pPr>
        <w:pStyle w:val="ListParagraph"/>
        <w:numPr>
          <w:ilvl w:val="0"/>
          <w:numId w:val="5"/>
        </w:numPr>
        <w:rPr>
          <w:rFonts w:cstheme="minorHAnsi"/>
          <w:sz w:val="24"/>
          <w:szCs w:val="24"/>
        </w:rPr>
      </w:pPr>
      <w:r w:rsidRPr="00494A49">
        <w:rPr>
          <w:rFonts w:cstheme="minorHAnsi"/>
          <w:sz w:val="24"/>
          <w:szCs w:val="24"/>
        </w:rPr>
        <w:t>International E</w:t>
      </w:r>
      <w:r w:rsidR="00067C9A">
        <w:rPr>
          <w:rFonts w:cstheme="minorHAnsi"/>
          <w:sz w:val="24"/>
          <w:szCs w:val="24"/>
        </w:rPr>
        <w:t>conomy until</w:t>
      </w:r>
      <w:r w:rsidRPr="00494A49">
        <w:rPr>
          <w:rFonts w:cstheme="minorHAnsi"/>
          <w:sz w:val="24"/>
          <w:szCs w:val="24"/>
        </w:rPr>
        <w:t xml:space="preserve"> End of Bretton Woods</w:t>
      </w:r>
    </w:p>
    <w:p w:rsidR="00D1574A" w:rsidRPr="00067C9A" w:rsidRDefault="00067C9A" w:rsidP="00067C9A">
      <w:pPr>
        <w:spacing w:after="0"/>
        <w:ind w:left="2160" w:hanging="720"/>
        <w:rPr>
          <w:rFonts w:cstheme="minorHAnsi"/>
        </w:rPr>
      </w:pPr>
      <w:proofErr w:type="spellStart"/>
      <w:r w:rsidRPr="00067C9A">
        <w:t>Hallwood</w:t>
      </w:r>
      <w:proofErr w:type="spellEnd"/>
      <w:r w:rsidRPr="00067C9A">
        <w:t xml:space="preserve">, C. &amp; R. MacDonald </w:t>
      </w:r>
      <w:r w:rsidR="00D1574A" w:rsidRPr="00067C9A">
        <w:rPr>
          <w:rFonts w:cstheme="minorHAnsi"/>
        </w:rPr>
        <w:t xml:space="preserve">– </w:t>
      </w:r>
      <w:proofErr w:type="spellStart"/>
      <w:r w:rsidR="00D1574A" w:rsidRPr="00067C9A">
        <w:rPr>
          <w:rFonts w:cstheme="minorHAnsi"/>
        </w:rPr>
        <w:t>Chp</w:t>
      </w:r>
      <w:proofErr w:type="spellEnd"/>
      <w:r w:rsidR="00D1574A" w:rsidRPr="00067C9A">
        <w:rPr>
          <w:rFonts w:cstheme="minorHAnsi"/>
        </w:rPr>
        <w:t xml:space="preserve"> 16</w:t>
      </w:r>
      <w:proofErr w:type="gramStart"/>
      <w:r w:rsidR="00D1574A" w:rsidRPr="00067C9A">
        <w:rPr>
          <w:rFonts w:cstheme="minorHAnsi"/>
        </w:rPr>
        <w:t>,17</w:t>
      </w:r>
      <w:proofErr w:type="gramEnd"/>
    </w:p>
    <w:p w:rsidR="00504573" w:rsidRPr="00067C9A" w:rsidRDefault="00504573" w:rsidP="00067C9A">
      <w:pPr>
        <w:spacing w:after="0"/>
        <w:ind w:left="2160" w:hanging="720"/>
      </w:pPr>
      <w:proofErr w:type="spellStart"/>
      <w:r w:rsidRPr="00067C9A">
        <w:t>D’Arista</w:t>
      </w:r>
      <w:proofErr w:type="spellEnd"/>
      <w:r w:rsidRPr="00067C9A">
        <w:t xml:space="preserve">, J. (2009). “The Evolving international Monetary System,” </w:t>
      </w:r>
      <w:r w:rsidRPr="00067C9A">
        <w:rPr>
          <w:i/>
        </w:rPr>
        <w:t>Cambridge Journal of Economics</w:t>
      </w:r>
      <w:r w:rsidRPr="00067C9A">
        <w:t>, 33, pp. 633-652.</w:t>
      </w:r>
    </w:p>
    <w:p w:rsidR="00D1574A" w:rsidRPr="00067C9A" w:rsidRDefault="00D1574A" w:rsidP="00067C9A">
      <w:pPr>
        <w:spacing w:after="0"/>
        <w:ind w:left="2160" w:hanging="720"/>
        <w:rPr>
          <w:rFonts w:cstheme="minorHAnsi"/>
        </w:rPr>
      </w:pPr>
      <w:r w:rsidRPr="00067C9A">
        <w:rPr>
          <w:rFonts w:cstheme="minorHAnsi"/>
        </w:rPr>
        <w:t xml:space="preserve">Bernanke B. (1993). “Credit in the </w:t>
      </w:r>
      <w:proofErr w:type="spellStart"/>
      <w:r w:rsidRPr="00067C9A">
        <w:rPr>
          <w:rFonts w:cstheme="minorHAnsi"/>
        </w:rPr>
        <w:t>Macroeconomy</w:t>
      </w:r>
      <w:proofErr w:type="spellEnd"/>
      <w:r w:rsidRPr="00067C9A">
        <w:rPr>
          <w:rFonts w:cstheme="minorHAnsi"/>
        </w:rPr>
        <w:t xml:space="preserve">,” </w:t>
      </w:r>
      <w:r w:rsidRPr="00067C9A">
        <w:rPr>
          <w:rFonts w:cstheme="minorHAnsi"/>
          <w:i/>
        </w:rPr>
        <w:t>Federal Reserve Bank of New York Quarterly Review</w:t>
      </w:r>
      <w:r w:rsidRPr="00067C9A">
        <w:rPr>
          <w:rFonts w:cstheme="minorHAnsi"/>
        </w:rPr>
        <w:t xml:space="preserve">, </w:t>
      </w:r>
      <w:proofErr w:type="gramStart"/>
      <w:r w:rsidRPr="00067C9A">
        <w:rPr>
          <w:rFonts w:cstheme="minorHAnsi"/>
        </w:rPr>
        <w:t>Spring</w:t>
      </w:r>
      <w:proofErr w:type="gramEnd"/>
      <w:r w:rsidRPr="00067C9A">
        <w:rPr>
          <w:rFonts w:cstheme="minorHAnsi"/>
        </w:rPr>
        <w:t>, 18(1).</w:t>
      </w:r>
    </w:p>
    <w:p w:rsidR="00D1574A" w:rsidRPr="00067C9A" w:rsidRDefault="00D1574A" w:rsidP="00067C9A">
      <w:pPr>
        <w:spacing w:after="0"/>
        <w:ind w:left="2160" w:hanging="720"/>
      </w:pPr>
      <w:proofErr w:type="spellStart"/>
      <w:r w:rsidRPr="00067C9A">
        <w:t>Eichengreen</w:t>
      </w:r>
      <w:proofErr w:type="spellEnd"/>
      <w:r w:rsidRPr="00067C9A">
        <w:t xml:space="preserve">, B. (1987). </w:t>
      </w:r>
      <w:proofErr w:type="gramStart"/>
      <w:r w:rsidRPr="00067C9A">
        <w:t xml:space="preserve">“Conducting the International Orchestra: Bank of England Leadership under the Classical Gold Standard,” </w:t>
      </w:r>
      <w:r w:rsidRPr="00067C9A">
        <w:rPr>
          <w:i/>
        </w:rPr>
        <w:t>Journal of International Money and Finance</w:t>
      </w:r>
      <w:r w:rsidRPr="00067C9A">
        <w:t>, 6, pp. 5-29.</w:t>
      </w:r>
      <w:proofErr w:type="gramEnd"/>
    </w:p>
    <w:p w:rsidR="00D1574A" w:rsidRPr="00067C9A" w:rsidRDefault="00D1574A" w:rsidP="00067C9A">
      <w:pPr>
        <w:spacing w:after="0"/>
        <w:ind w:left="2160" w:hanging="720"/>
      </w:pPr>
      <w:proofErr w:type="spellStart"/>
      <w:r w:rsidRPr="00067C9A">
        <w:t>Kindleberger</w:t>
      </w:r>
      <w:proofErr w:type="spellEnd"/>
      <w:r w:rsidRPr="00067C9A">
        <w:t xml:space="preserve">, C. (1985). </w:t>
      </w:r>
      <w:proofErr w:type="gramStart"/>
      <w:r w:rsidRPr="00067C9A">
        <w:t>“The Functioning of Financial Centers: Britain in the Nineteenth Century, The United States Since 1945,” Essays in International Finance, 157, pp. 7-18.</w:t>
      </w:r>
      <w:proofErr w:type="gramEnd"/>
    </w:p>
    <w:p w:rsidR="00D1574A" w:rsidRDefault="00D1574A" w:rsidP="00067C9A">
      <w:pPr>
        <w:spacing w:after="0"/>
        <w:ind w:left="2160" w:hanging="720"/>
      </w:pPr>
      <w:r w:rsidRPr="00067C9A">
        <w:t xml:space="preserve">Keefer, P. &amp; D. </w:t>
      </w:r>
      <w:proofErr w:type="spellStart"/>
      <w:r w:rsidRPr="00067C9A">
        <w:t>Stasavage</w:t>
      </w:r>
      <w:proofErr w:type="spellEnd"/>
      <w:r w:rsidRPr="00067C9A">
        <w:t xml:space="preserve"> (2002). </w:t>
      </w:r>
      <w:proofErr w:type="gramStart"/>
      <w:r w:rsidRPr="00067C9A">
        <w:t xml:space="preserve">“Checks and Balances, Private Information, and the Credibility of Monetary Commitments,” </w:t>
      </w:r>
      <w:r w:rsidRPr="00067C9A">
        <w:rPr>
          <w:i/>
        </w:rPr>
        <w:t>International Organization</w:t>
      </w:r>
      <w:r w:rsidRPr="00067C9A">
        <w:t xml:space="preserve"> 56(4).</w:t>
      </w:r>
      <w:proofErr w:type="gramEnd"/>
    </w:p>
    <w:p w:rsidR="00067C9A" w:rsidRPr="00067C9A" w:rsidRDefault="00067C9A" w:rsidP="00067C9A">
      <w:pPr>
        <w:spacing w:after="0"/>
        <w:ind w:left="2160" w:hanging="720"/>
      </w:pPr>
    </w:p>
    <w:p w:rsidR="00D1574A" w:rsidRDefault="00D1574A" w:rsidP="00D1574A">
      <w:pPr>
        <w:pStyle w:val="ListParagraph"/>
        <w:ind w:left="1080"/>
        <w:rPr>
          <w:rFonts w:cstheme="minorHAnsi"/>
          <w:sz w:val="24"/>
          <w:szCs w:val="24"/>
        </w:rPr>
      </w:pPr>
    </w:p>
    <w:p w:rsidR="00D1574A" w:rsidRPr="00494A49" w:rsidRDefault="00D1574A" w:rsidP="00494A49">
      <w:pPr>
        <w:pStyle w:val="ListParagraph"/>
        <w:numPr>
          <w:ilvl w:val="0"/>
          <w:numId w:val="5"/>
        </w:numPr>
        <w:rPr>
          <w:rFonts w:cstheme="minorHAnsi"/>
          <w:sz w:val="24"/>
          <w:szCs w:val="24"/>
        </w:rPr>
      </w:pPr>
      <w:r w:rsidRPr="00494A49">
        <w:rPr>
          <w:rFonts w:cstheme="minorHAnsi"/>
          <w:sz w:val="24"/>
          <w:szCs w:val="24"/>
        </w:rPr>
        <w:t>International Economy Post-Bretton Woods</w:t>
      </w:r>
    </w:p>
    <w:p w:rsidR="00464833" w:rsidRDefault="00464833" w:rsidP="00464833">
      <w:pPr>
        <w:pStyle w:val="ListParagraph"/>
        <w:ind w:left="1440"/>
      </w:pPr>
    </w:p>
    <w:p w:rsidR="004F500F" w:rsidRPr="00067C9A" w:rsidRDefault="004F500F" w:rsidP="004F500F">
      <w:pPr>
        <w:pStyle w:val="ListParagraph"/>
        <w:numPr>
          <w:ilvl w:val="0"/>
          <w:numId w:val="6"/>
        </w:numPr>
        <w:rPr>
          <w:i/>
        </w:rPr>
      </w:pPr>
      <w:r w:rsidRPr="00067C9A">
        <w:rPr>
          <w:i/>
        </w:rPr>
        <w:t>The Unilateral Dollar Standard and Financial Globalization</w:t>
      </w:r>
    </w:p>
    <w:p w:rsidR="004F500F" w:rsidRDefault="004F500F" w:rsidP="004F500F">
      <w:pPr>
        <w:spacing w:after="0"/>
        <w:ind w:left="1980" w:hanging="540"/>
      </w:pPr>
      <w:proofErr w:type="spellStart"/>
      <w:r>
        <w:t>Hayami</w:t>
      </w:r>
      <w:proofErr w:type="spellEnd"/>
      <w:r>
        <w:t xml:space="preserve">, Y. (2003). “From Washington Consensus to the Post-Washington Consensus: Retrospect and Prospect,” </w:t>
      </w:r>
      <w:r w:rsidRPr="00A97B51">
        <w:rPr>
          <w:i/>
        </w:rPr>
        <w:t>Asian Development Review</w:t>
      </w:r>
      <w:r>
        <w:t>, 20(2).</w:t>
      </w:r>
    </w:p>
    <w:p w:rsidR="004F500F" w:rsidRDefault="004F500F" w:rsidP="004F500F">
      <w:pPr>
        <w:spacing w:after="0"/>
        <w:ind w:left="1980" w:hanging="540"/>
      </w:pPr>
      <w:r>
        <w:t xml:space="preserve">Singh, A. (2003). “Capital Account Liberalization, Free Long-Term Capital Flows, Financial Crises and Economic Development,” </w:t>
      </w:r>
      <w:r w:rsidRPr="002D5B70">
        <w:rPr>
          <w:i/>
        </w:rPr>
        <w:t>Eastern Economic Journal</w:t>
      </w:r>
      <w:r>
        <w:t xml:space="preserve"> 29(2).</w:t>
      </w:r>
    </w:p>
    <w:p w:rsidR="00381F50" w:rsidRDefault="00381F50" w:rsidP="00381F50">
      <w:pPr>
        <w:spacing w:after="0"/>
        <w:ind w:left="1980" w:hanging="540"/>
      </w:pPr>
      <w:r>
        <w:t xml:space="preserve">McKinnon, R. (2005). “Trapped by the International Dollar Standard,” </w:t>
      </w:r>
      <w:r w:rsidRPr="002D5B70">
        <w:rPr>
          <w:i/>
        </w:rPr>
        <w:t>Journal of Policy Modeling</w:t>
      </w:r>
      <w:r>
        <w:t xml:space="preserve"> 27, pp. 277-485.</w:t>
      </w:r>
    </w:p>
    <w:p w:rsidR="004F500F" w:rsidRDefault="004F500F" w:rsidP="004F500F">
      <w:pPr>
        <w:spacing w:after="0"/>
        <w:ind w:left="1980" w:hanging="540"/>
      </w:pPr>
      <w:proofErr w:type="gramStart"/>
      <w:r>
        <w:t xml:space="preserve">Dooley, M. </w:t>
      </w:r>
      <w:proofErr w:type="spellStart"/>
      <w:r>
        <w:t>Folkerts</w:t>
      </w:r>
      <w:proofErr w:type="spellEnd"/>
      <w:r>
        <w:t>-Landau, D. &amp; P. Garber (2004).</w:t>
      </w:r>
      <w:proofErr w:type="gramEnd"/>
      <w:r>
        <w:t xml:space="preserve"> “The Revived Bretton Woods System,” </w:t>
      </w:r>
      <w:r w:rsidRPr="005F227D">
        <w:rPr>
          <w:i/>
        </w:rPr>
        <w:t>International Journal of Finance and Economics</w:t>
      </w:r>
      <w:r>
        <w:t xml:space="preserve"> 9, pp. 307-313.</w:t>
      </w:r>
    </w:p>
    <w:p w:rsidR="004F500F" w:rsidRDefault="004F500F" w:rsidP="004F500F">
      <w:pPr>
        <w:spacing w:after="0"/>
        <w:ind w:left="1980" w:hanging="540"/>
      </w:pPr>
      <w:r>
        <w:t xml:space="preserve">Prasad, E. &amp; R. </w:t>
      </w:r>
      <w:proofErr w:type="spellStart"/>
      <w:r>
        <w:t>Rajan</w:t>
      </w:r>
      <w:proofErr w:type="spellEnd"/>
      <w:r>
        <w:t xml:space="preserve"> (2008). “A Pragmatic Approach to Capital Account Liberalization,” </w:t>
      </w:r>
      <w:r w:rsidRPr="00966F97">
        <w:rPr>
          <w:i/>
        </w:rPr>
        <w:t>Journal of Economic Perspectives</w:t>
      </w:r>
      <w:r>
        <w:t xml:space="preserve"> 22, pp. 149-172.</w:t>
      </w:r>
    </w:p>
    <w:p w:rsidR="00381F50" w:rsidRDefault="00381F50" w:rsidP="00381F50">
      <w:pPr>
        <w:spacing w:after="0"/>
        <w:ind w:left="1980" w:hanging="540"/>
      </w:pPr>
      <w:proofErr w:type="spellStart"/>
      <w:r>
        <w:t>Eatwell</w:t>
      </w:r>
      <w:proofErr w:type="spellEnd"/>
      <w:r>
        <w:t xml:space="preserve"> &amp; Taylor – </w:t>
      </w:r>
      <w:proofErr w:type="spellStart"/>
      <w:r>
        <w:t>Chps</w:t>
      </w:r>
      <w:proofErr w:type="spellEnd"/>
      <w:r>
        <w:t>. 1-3.</w:t>
      </w:r>
    </w:p>
    <w:p w:rsidR="00D1574A" w:rsidRPr="00D1574A" w:rsidRDefault="00D1574A" w:rsidP="00D1574A">
      <w:pPr>
        <w:pStyle w:val="ListParagraph"/>
        <w:ind w:left="1080"/>
        <w:rPr>
          <w:rFonts w:cstheme="minorHAnsi"/>
          <w:sz w:val="24"/>
          <w:szCs w:val="24"/>
        </w:rPr>
      </w:pPr>
    </w:p>
    <w:p w:rsidR="00A97B51" w:rsidRPr="003B0C54" w:rsidRDefault="00E80F6E" w:rsidP="00A97B51">
      <w:pPr>
        <w:pStyle w:val="ListParagraph"/>
        <w:numPr>
          <w:ilvl w:val="0"/>
          <w:numId w:val="6"/>
        </w:numPr>
        <w:rPr>
          <w:i/>
        </w:rPr>
      </w:pPr>
      <w:r w:rsidRPr="003B0C54">
        <w:rPr>
          <w:i/>
        </w:rPr>
        <w:t>Currency Crise</w:t>
      </w:r>
      <w:r w:rsidR="00A97B51" w:rsidRPr="003B0C54">
        <w:rPr>
          <w:i/>
        </w:rPr>
        <w:t>s</w:t>
      </w:r>
    </w:p>
    <w:p w:rsidR="00A97B51" w:rsidRDefault="00A97B51" w:rsidP="00A97B51">
      <w:pPr>
        <w:spacing w:after="0"/>
        <w:ind w:left="1980" w:hanging="540"/>
      </w:pPr>
      <w:proofErr w:type="gramStart"/>
      <w:r>
        <w:t xml:space="preserve">Allen &amp; Gale (1999) “Bubbles and Crises, and Policy,” </w:t>
      </w:r>
      <w:r w:rsidRPr="00C5240B">
        <w:rPr>
          <w:i/>
        </w:rPr>
        <w:t>Oxford Review of Economic Policy</w:t>
      </w:r>
      <w:r>
        <w:t xml:space="preserve"> 15(3).</w:t>
      </w:r>
      <w:proofErr w:type="gramEnd"/>
    </w:p>
    <w:p w:rsidR="00A97B51" w:rsidRDefault="00A97B51" w:rsidP="00A97B51">
      <w:pPr>
        <w:spacing w:after="0"/>
        <w:ind w:left="1980" w:hanging="540"/>
      </w:pPr>
      <w:r>
        <w:lastRenderedPageBreak/>
        <w:t xml:space="preserve">Corbett, J., Irwin, G. &amp; D. Vines (1999). </w:t>
      </w:r>
      <w:proofErr w:type="gramStart"/>
      <w:r>
        <w:t xml:space="preserve">“Asian Currency and Financial Crisis: Lessons from Vulnerability, Crisis and Collapse,” </w:t>
      </w:r>
      <w:r w:rsidRPr="00A00598">
        <w:rPr>
          <w:i/>
        </w:rPr>
        <w:t>World Economy</w:t>
      </w:r>
      <w:r>
        <w:t>, 22(2).</w:t>
      </w:r>
      <w:proofErr w:type="gramEnd"/>
    </w:p>
    <w:p w:rsidR="00A97B51" w:rsidRDefault="00A97B51" w:rsidP="00A97B51">
      <w:pPr>
        <w:spacing w:after="0"/>
        <w:ind w:left="1980" w:hanging="540"/>
      </w:pPr>
      <w:proofErr w:type="spellStart"/>
      <w:proofErr w:type="gramStart"/>
      <w:r>
        <w:t>Corden</w:t>
      </w:r>
      <w:proofErr w:type="spellEnd"/>
      <w:r>
        <w:t>, W. (2007).</w:t>
      </w:r>
      <w:proofErr w:type="gramEnd"/>
      <w:r>
        <w:t xml:space="preserve"> “The Asian Crisis: A Perspective </w:t>
      </w:r>
      <w:proofErr w:type="gramStart"/>
      <w:r>
        <w:t>After</w:t>
      </w:r>
      <w:proofErr w:type="gramEnd"/>
      <w:r>
        <w:t xml:space="preserve"> Ten Years,” </w:t>
      </w:r>
      <w:r w:rsidRPr="009234A8">
        <w:rPr>
          <w:i/>
        </w:rPr>
        <w:t>Asian Pacific Economic Literature</w:t>
      </w:r>
      <w:r>
        <w:t>, 23(1)</w:t>
      </w:r>
      <w:r w:rsidR="00067C9A">
        <w:t>.</w:t>
      </w:r>
    </w:p>
    <w:p w:rsidR="00A97B51" w:rsidRDefault="00A97B51" w:rsidP="00A97B51">
      <w:pPr>
        <w:spacing w:after="0"/>
        <w:ind w:left="1980" w:hanging="540"/>
      </w:pPr>
      <w:r>
        <w:t xml:space="preserve">Erturk, K. (2001-2). </w:t>
      </w:r>
      <w:proofErr w:type="gramStart"/>
      <w:r>
        <w:t xml:space="preserve">“Overcapacity and the Asian Crisis,” </w:t>
      </w:r>
      <w:r w:rsidRPr="00A97B51">
        <w:rPr>
          <w:i/>
        </w:rPr>
        <w:t>Journal of Post-Keynesian Economics</w:t>
      </w:r>
      <w:r>
        <w:t xml:space="preserve"> 24(2).</w:t>
      </w:r>
      <w:proofErr w:type="gramEnd"/>
    </w:p>
    <w:p w:rsidR="00A97B51" w:rsidRPr="00A97B51" w:rsidRDefault="00A97B51" w:rsidP="000568FB">
      <w:pPr>
        <w:pStyle w:val="BodyText3"/>
        <w:spacing w:after="480"/>
        <w:ind w:left="1980" w:hanging="540"/>
        <w:rPr>
          <w:rFonts w:asciiTheme="minorHAnsi" w:hAnsiTheme="minorHAnsi" w:cstheme="minorHAnsi"/>
          <w:sz w:val="22"/>
          <w:szCs w:val="22"/>
          <w:lang w:val="es-ES"/>
        </w:rPr>
      </w:pPr>
      <w:r w:rsidRPr="00A97B51">
        <w:rPr>
          <w:rFonts w:asciiTheme="minorHAnsi" w:hAnsiTheme="minorHAnsi" w:cstheme="minorHAnsi"/>
          <w:sz w:val="22"/>
          <w:szCs w:val="22"/>
        </w:rPr>
        <w:t xml:space="preserve">Erturk, K. (2006). </w:t>
      </w:r>
      <w:proofErr w:type="gramStart"/>
      <w:r w:rsidRPr="00A97B51">
        <w:rPr>
          <w:rFonts w:asciiTheme="minorHAnsi" w:hAnsiTheme="minorHAnsi" w:cstheme="minorHAnsi"/>
          <w:sz w:val="22"/>
          <w:szCs w:val="22"/>
        </w:rPr>
        <w:t xml:space="preserve">“On the Changing Nature of Currency Crisis,” in P. </w:t>
      </w:r>
      <w:proofErr w:type="spellStart"/>
      <w:r w:rsidRPr="00A97B51">
        <w:rPr>
          <w:rFonts w:asciiTheme="minorHAnsi" w:hAnsiTheme="minorHAnsi" w:cstheme="minorHAnsi"/>
          <w:sz w:val="22"/>
          <w:szCs w:val="22"/>
        </w:rPr>
        <w:t>Arestis</w:t>
      </w:r>
      <w:proofErr w:type="spellEnd"/>
      <w:r w:rsidRPr="00A97B51">
        <w:rPr>
          <w:rFonts w:asciiTheme="minorHAnsi" w:hAnsiTheme="minorHAnsi" w:cstheme="minorHAnsi"/>
          <w:sz w:val="22"/>
          <w:szCs w:val="22"/>
        </w:rPr>
        <w:t xml:space="preserve">, J. </w:t>
      </w:r>
      <w:proofErr w:type="spellStart"/>
      <w:r w:rsidRPr="00A97B51">
        <w:rPr>
          <w:rFonts w:asciiTheme="minorHAnsi" w:hAnsiTheme="minorHAnsi" w:cstheme="minorHAnsi"/>
          <w:sz w:val="22"/>
          <w:szCs w:val="22"/>
        </w:rPr>
        <w:t>Ferreiro</w:t>
      </w:r>
      <w:proofErr w:type="spellEnd"/>
      <w:r w:rsidRPr="00A97B51">
        <w:rPr>
          <w:rFonts w:asciiTheme="minorHAnsi" w:hAnsiTheme="minorHAnsi" w:cstheme="minorHAnsi"/>
          <w:sz w:val="22"/>
          <w:szCs w:val="22"/>
        </w:rPr>
        <w:t xml:space="preserve"> and </w:t>
      </w:r>
      <w:r w:rsidRPr="00A97B51">
        <w:rPr>
          <w:rFonts w:asciiTheme="minorHAnsi" w:hAnsiTheme="minorHAnsi" w:cstheme="minorHAnsi"/>
          <w:sz w:val="22"/>
          <w:szCs w:val="22"/>
          <w:lang w:val="es-ES"/>
        </w:rPr>
        <w:t xml:space="preserve">F. Serrano (eds.) </w:t>
      </w:r>
      <w:proofErr w:type="spellStart"/>
      <w:r w:rsidRPr="00A97B51">
        <w:rPr>
          <w:rFonts w:asciiTheme="minorHAnsi" w:hAnsiTheme="minorHAnsi" w:cstheme="minorHAnsi"/>
          <w:i/>
          <w:sz w:val="22"/>
          <w:szCs w:val="22"/>
          <w:lang w:val="es-ES"/>
        </w:rPr>
        <w:t>Financial</w:t>
      </w:r>
      <w:proofErr w:type="spellEnd"/>
      <w:r w:rsidRPr="00A97B51">
        <w:rPr>
          <w:rFonts w:asciiTheme="minorHAnsi" w:hAnsiTheme="minorHAnsi" w:cstheme="minorHAnsi"/>
          <w:i/>
          <w:sz w:val="22"/>
          <w:szCs w:val="22"/>
          <w:lang w:val="es-ES"/>
        </w:rPr>
        <w:t xml:space="preserve"> </w:t>
      </w:r>
      <w:proofErr w:type="spellStart"/>
      <w:r w:rsidRPr="00A97B51">
        <w:rPr>
          <w:rFonts w:asciiTheme="minorHAnsi" w:hAnsiTheme="minorHAnsi" w:cstheme="minorHAnsi"/>
          <w:i/>
          <w:sz w:val="22"/>
          <w:szCs w:val="22"/>
          <w:lang w:val="es-ES"/>
        </w:rPr>
        <w:t>Developments</w:t>
      </w:r>
      <w:proofErr w:type="spellEnd"/>
      <w:r w:rsidRPr="00A97B51">
        <w:rPr>
          <w:rFonts w:asciiTheme="minorHAnsi" w:hAnsiTheme="minorHAnsi" w:cstheme="minorHAnsi"/>
          <w:i/>
          <w:sz w:val="22"/>
          <w:szCs w:val="22"/>
          <w:lang w:val="es-ES"/>
        </w:rPr>
        <w:t xml:space="preserve"> in </w:t>
      </w:r>
      <w:proofErr w:type="spellStart"/>
      <w:r w:rsidRPr="00A97B51">
        <w:rPr>
          <w:rFonts w:asciiTheme="minorHAnsi" w:hAnsiTheme="minorHAnsi" w:cstheme="minorHAnsi"/>
          <w:i/>
          <w:sz w:val="22"/>
          <w:szCs w:val="22"/>
          <w:lang w:val="es-ES"/>
        </w:rPr>
        <w:t>National</w:t>
      </w:r>
      <w:proofErr w:type="spellEnd"/>
      <w:r w:rsidRPr="00A97B51">
        <w:rPr>
          <w:rFonts w:asciiTheme="minorHAnsi" w:hAnsiTheme="minorHAnsi" w:cstheme="minorHAnsi"/>
          <w:i/>
          <w:sz w:val="22"/>
          <w:szCs w:val="22"/>
          <w:lang w:val="es-ES"/>
        </w:rPr>
        <w:t xml:space="preserve"> and International </w:t>
      </w:r>
      <w:proofErr w:type="spellStart"/>
      <w:r w:rsidRPr="00A97B51">
        <w:rPr>
          <w:rFonts w:asciiTheme="minorHAnsi" w:hAnsiTheme="minorHAnsi" w:cstheme="minorHAnsi"/>
          <w:i/>
          <w:sz w:val="22"/>
          <w:szCs w:val="22"/>
          <w:lang w:val="es-ES"/>
        </w:rPr>
        <w:t>Markets</w:t>
      </w:r>
      <w:proofErr w:type="spellEnd"/>
      <w:r w:rsidR="00381F50">
        <w:rPr>
          <w:rFonts w:asciiTheme="minorHAnsi" w:hAnsiTheme="minorHAnsi" w:cstheme="minorHAnsi"/>
          <w:i/>
          <w:sz w:val="22"/>
          <w:szCs w:val="22"/>
          <w:lang w:val="es-ES"/>
        </w:rPr>
        <w:t>.</w:t>
      </w:r>
      <w:proofErr w:type="gramEnd"/>
      <w:r w:rsidRPr="00A97B51">
        <w:rPr>
          <w:rFonts w:asciiTheme="minorHAnsi" w:hAnsiTheme="minorHAnsi" w:cstheme="minorHAnsi"/>
          <w:sz w:val="22"/>
          <w:szCs w:val="22"/>
          <w:lang w:val="es-ES"/>
        </w:rPr>
        <w:t xml:space="preserve"> </w:t>
      </w:r>
      <w:proofErr w:type="spellStart"/>
      <w:r w:rsidRPr="00A97B51">
        <w:rPr>
          <w:rFonts w:asciiTheme="minorHAnsi" w:hAnsiTheme="minorHAnsi" w:cstheme="minorHAnsi"/>
          <w:sz w:val="22"/>
          <w:szCs w:val="22"/>
          <w:lang w:val="es-ES"/>
        </w:rPr>
        <w:t>Palgrave</w:t>
      </w:r>
      <w:proofErr w:type="spellEnd"/>
      <w:r w:rsidRPr="00A97B51">
        <w:rPr>
          <w:rFonts w:asciiTheme="minorHAnsi" w:hAnsiTheme="minorHAnsi" w:cstheme="minorHAnsi"/>
          <w:sz w:val="22"/>
          <w:szCs w:val="22"/>
          <w:lang w:val="es-ES"/>
        </w:rPr>
        <w:t xml:space="preserve"> </w:t>
      </w:r>
      <w:proofErr w:type="spellStart"/>
      <w:r w:rsidRPr="00A97B51">
        <w:rPr>
          <w:rFonts w:asciiTheme="minorHAnsi" w:hAnsiTheme="minorHAnsi" w:cstheme="minorHAnsi"/>
          <w:sz w:val="22"/>
          <w:szCs w:val="22"/>
          <w:lang w:val="es-ES"/>
        </w:rPr>
        <w:t>Macmillan</w:t>
      </w:r>
      <w:proofErr w:type="spellEnd"/>
      <w:r w:rsidRPr="00A97B51">
        <w:rPr>
          <w:rFonts w:asciiTheme="minorHAnsi" w:hAnsiTheme="minorHAnsi" w:cstheme="minorHAnsi"/>
          <w:sz w:val="22"/>
          <w:szCs w:val="22"/>
          <w:lang w:val="es-ES"/>
        </w:rPr>
        <w:t xml:space="preserve">. </w:t>
      </w:r>
    </w:p>
    <w:p w:rsidR="00A97B51" w:rsidRPr="00067C9A" w:rsidRDefault="00A97B51" w:rsidP="00A97B51">
      <w:pPr>
        <w:pStyle w:val="ListParagraph"/>
        <w:numPr>
          <w:ilvl w:val="0"/>
          <w:numId w:val="6"/>
        </w:numPr>
        <w:rPr>
          <w:i/>
        </w:rPr>
      </w:pPr>
      <w:r w:rsidRPr="00067C9A">
        <w:rPr>
          <w:i/>
        </w:rPr>
        <w:t>Global Imbalances and Financial Crisis</w:t>
      </w:r>
    </w:p>
    <w:p w:rsidR="00A97B51" w:rsidRDefault="00A97B51" w:rsidP="00A97B51">
      <w:pPr>
        <w:spacing w:after="0"/>
        <w:ind w:left="1980" w:hanging="540"/>
      </w:pPr>
      <w:proofErr w:type="spellStart"/>
      <w:r>
        <w:t>Eichengreen</w:t>
      </w:r>
      <w:proofErr w:type="spellEnd"/>
      <w:r>
        <w:t xml:space="preserve">, B. (2006). “Global Imbalances: The New Economy, the Dark Matter, the Savvy Investor, and the Standard Analysis,” </w:t>
      </w:r>
      <w:r w:rsidRPr="00CF3839">
        <w:rPr>
          <w:i/>
        </w:rPr>
        <w:t>Journal of Policy Modeling</w:t>
      </w:r>
      <w:r w:rsidR="00381F50">
        <w:t>,</w:t>
      </w:r>
      <w:r>
        <w:t xml:space="preserve"> 28, pp. 645-652.</w:t>
      </w:r>
    </w:p>
    <w:p w:rsidR="00A97B51" w:rsidRDefault="00A97B51" w:rsidP="00A97B51">
      <w:pPr>
        <w:spacing w:after="0"/>
        <w:ind w:left="1980" w:hanging="540"/>
      </w:pPr>
      <w:proofErr w:type="spellStart"/>
      <w:r>
        <w:t>Balakrishnan</w:t>
      </w:r>
      <w:proofErr w:type="spellEnd"/>
      <w:r>
        <w:t xml:space="preserve">, R., </w:t>
      </w:r>
      <w:proofErr w:type="spellStart"/>
      <w:r>
        <w:t>Bayoumi</w:t>
      </w:r>
      <w:proofErr w:type="spellEnd"/>
      <w:r>
        <w:t xml:space="preserve">, T. &amp; V. </w:t>
      </w:r>
      <w:proofErr w:type="spellStart"/>
      <w:r>
        <w:t>Tulin</w:t>
      </w:r>
      <w:proofErr w:type="spellEnd"/>
      <w:r>
        <w:t xml:space="preserve"> (2007). “Globalization, Gluts, Innovation or Irrationality: What Explains the Easy Financing of the US Current Account Deficit,” IMF Working Paper 160.</w:t>
      </w:r>
    </w:p>
    <w:p w:rsidR="00D1574A" w:rsidRPr="00464833" w:rsidRDefault="00A97B51" w:rsidP="00A97B51">
      <w:pPr>
        <w:spacing w:after="0"/>
        <w:ind w:left="1980" w:hanging="540"/>
        <w:rPr>
          <w:rFonts w:cstheme="minorHAnsi"/>
        </w:rPr>
      </w:pPr>
      <w:r w:rsidRPr="00464833">
        <w:rPr>
          <w:rFonts w:cstheme="minorHAnsi"/>
        </w:rPr>
        <w:t xml:space="preserve">Erturk, K. (2010). “On the Heterodox View of the Crisis,” </w:t>
      </w:r>
      <w:r w:rsidRPr="00464833">
        <w:rPr>
          <w:rFonts w:cstheme="minorHAnsi"/>
          <w:i/>
        </w:rPr>
        <w:t>Real World Economics Review</w:t>
      </w:r>
      <w:r w:rsidRPr="00464833">
        <w:rPr>
          <w:rFonts w:cstheme="minorHAnsi"/>
        </w:rPr>
        <w:t>, 5</w:t>
      </w:r>
      <w:r w:rsidR="00464833">
        <w:rPr>
          <w:rFonts w:cstheme="minorHAnsi"/>
        </w:rPr>
        <w:t>4</w:t>
      </w:r>
      <w:r w:rsidRPr="00464833">
        <w:rPr>
          <w:rFonts w:cstheme="minorHAnsi"/>
        </w:rPr>
        <w:t>.</w:t>
      </w:r>
    </w:p>
    <w:p w:rsidR="00464833" w:rsidRDefault="00A97B51" w:rsidP="00464833">
      <w:pPr>
        <w:spacing w:after="0"/>
        <w:ind w:left="1980" w:hanging="540"/>
      </w:pPr>
      <w:proofErr w:type="spellStart"/>
      <w:r>
        <w:t>Borio</w:t>
      </w:r>
      <w:proofErr w:type="spellEnd"/>
      <w:r>
        <w:t xml:space="preserve">, C. &amp; P. </w:t>
      </w:r>
      <w:proofErr w:type="spellStart"/>
      <w:r>
        <w:t>Disyatat</w:t>
      </w:r>
      <w:proofErr w:type="spellEnd"/>
      <w:r>
        <w:t xml:space="preserve"> (2011). “Global Imbalances and the Financial Crisis: Link or No Link?” BIS Working Paper 346.</w:t>
      </w:r>
    </w:p>
    <w:p w:rsidR="00464833" w:rsidRDefault="00464833" w:rsidP="00464833">
      <w:pPr>
        <w:spacing w:after="0"/>
        <w:ind w:left="1980" w:hanging="540"/>
      </w:pPr>
      <w:proofErr w:type="spellStart"/>
      <w:r>
        <w:t>Obstfeld</w:t>
      </w:r>
      <w:proofErr w:type="spellEnd"/>
      <w:r>
        <w:t xml:space="preserve">, M. &amp; K. </w:t>
      </w:r>
      <w:proofErr w:type="spellStart"/>
      <w:r>
        <w:t>Rogoff</w:t>
      </w:r>
      <w:proofErr w:type="spellEnd"/>
      <w:r>
        <w:t xml:space="preserve"> (2009). “Global Imbalances and the Financial Crisis: Products and Common Causes.” </w:t>
      </w:r>
      <w:proofErr w:type="gramStart"/>
      <w:r>
        <w:t>Mimeo.</w:t>
      </w:r>
      <w:proofErr w:type="gramEnd"/>
    </w:p>
    <w:p w:rsidR="00464833" w:rsidRDefault="00464833" w:rsidP="000568FB">
      <w:pPr>
        <w:spacing w:after="360"/>
        <w:ind w:left="1980" w:hanging="540"/>
      </w:pPr>
      <w:proofErr w:type="spellStart"/>
      <w:r>
        <w:t>Priewe</w:t>
      </w:r>
      <w:proofErr w:type="spellEnd"/>
      <w:r>
        <w:t xml:space="preserve">, J. (2010). “What Went Wrong? Alternative Interpretations of the Global Financial Crisis,” in </w:t>
      </w:r>
      <w:proofErr w:type="spellStart"/>
      <w:r>
        <w:t>Dullien</w:t>
      </w:r>
      <w:proofErr w:type="spellEnd"/>
      <w:r>
        <w:t xml:space="preserve"> et al (eds.) </w:t>
      </w:r>
      <w:r w:rsidRPr="005F52D3">
        <w:rPr>
          <w:i/>
        </w:rPr>
        <w:t>The Financial and Economic Crisis of 2008-2009 and Developing Countries</w:t>
      </w:r>
      <w:r>
        <w:t xml:space="preserve">. </w:t>
      </w:r>
      <w:proofErr w:type="spellStart"/>
      <w:proofErr w:type="gramStart"/>
      <w:r>
        <w:t>Unctad</w:t>
      </w:r>
      <w:proofErr w:type="spellEnd"/>
      <w:r>
        <w:t>.</w:t>
      </w:r>
      <w:proofErr w:type="gramEnd"/>
    </w:p>
    <w:p w:rsidR="0078582D" w:rsidRPr="00067C9A" w:rsidRDefault="00464833" w:rsidP="00464833">
      <w:pPr>
        <w:pStyle w:val="ListParagraph"/>
        <w:numPr>
          <w:ilvl w:val="0"/>
          <w:numId w:val="6"/>
        </w:numPr>
        <w:rPr>
          <w:i/>
        </w:rPr>
      </w:pPr>
      <w:r w:rsidRPr="00067C9A">
        <w:rPr>
          <w:i/>
        </w:rPr>
        <w:t>Post</w:t>
      </w:r>
      <w:r w:rsidR="00E80F6E">
        <w:rPr>
          <w:i/>
        </w:rPr>
        <w:t>-</w:t>
      </w:r>
      <w:r w:rsidRPr="00067C9A">
        <w:rPr>
          <w:i/>
        </w:rPr>
        <w:t>Crisis Environment</w:t>
      </w:r>
    </w:p>
    <w:p w:rsidR="00A97B51" w:rsidRDefault="00A97B51" w:rsidP="00464833">
      <w:pPr>
        <w:spacing w:after="0"/>
        <w:ind w:left="1980" w:hanging="540"/>
      </w:pPr>
      <w:r>
        <w:t xml:space="preserve">Temin &amp; Vines – </w:t>
      </w:r>
      <w:proofErr w:type="spellStart"/>
      <w:r>
        <w:t>Chps</w:t>
      </w:r>
      <w:proofErr w:type="spellEnd"/>
      <w:r>
        <w:t>. 5 and 6</w:t>
      </w:r>
    </w:p>
    <w:p w:rsidR="00A97B51" w:rsidRDefault="00A97B51" w:rsidP="00464833">
      <w:pPr>
        <w:spacing w:after="0"/>
        <w:ind w:left="1980" w:hanging="540"/>
      </w:pPr>
      <w:proofErr w:type="spellStart"/>
      <w:r>
        <w:t>Bonizzi</w:t>
      </w:r>
      <w:proofErr w:type="spellEnd"/>
      <w:r>
        <w:t>, B. (2013). “Capital Flows to Emerging Markets: Institutional Investors and the Post Crisis Environment,” Mimeo</w:t>
      </w:r>
    </w:p>
    <w:p w:rsidR="00A97B51" w:rsidRDefault="00A97B51" w:rsidP="00464833">
      <w:pPr>
        <w:spacing w:after="0"/>
        <w:ind w:left="1980" w:hanging="540"/>
      </w:pPr>
      <w:proofErr w:type="gramStart"/>
      <w:r>
        <w:t>Shin, H. (2012).</w:t>
      </w:r>
      <w:proofErr w:type="gramEnd"/>
      <w:r>
        <w:t xml:space="preserve"> “Global Banking Glut and Loan Risk Premium,” </w:t>
      </w:r>
      <w:r w:rsidRPr="00966F97">
        <w:rPr>
          <w:i/>
        </w:rPr>
        <w:t xml:space="preserve">IMF Economic </w:t>
      </w:r>
      <w:r w:rsidRPr="00966F97">
        <w:rPr>
          <w:i/>
        </w:rPr>
        <w:br/>
        <w:t>Review</w:t>
      </w:r>
      <w:r>
        <w:t xml:space="preserve"> 60(2), pp. 155-192.</w:t>
      </w:r>
    </w:p>
    <w:p w:rsidR="00464833" w:rsidRDefault="00464833" w:rsidP="00464833">
      <w:pPr>
        <w:spacing w:after="0"/>
        <w:ind w:left="1980" w:hanging="540"/>
      </w:pPr>
      <w:r>
        <w:t xml:space="preserve">Blanchard, O. &amp; G.M. </w:t>
      </w:r>
      <w:proofErr w:type="spellStart"/>
      <w:r>
        <w:t>Milesi-Ferretti</w:t>
      </w:r>
      <w:proofErr w:type="spellEnd"/>
      <w:r>
        <w:t xml:space="preserve"> (2011). “(Why) Should Current Account Balances be </w:t>
      </w:r>
      <w:proofErr w:type="gramStart"/>
      <w:r>
        <w:t>Reduced</w:t>
      </w:r>
      <w:proofErr w:type="gramEnd"/>
      <w:r>
        <w:t>?” IMF Staff Position Note.</w:t>
      </w:r>
    </w:p>
    <w:p w:rsidR="00464833" w:rsidRDefault="00464833" w:rsidP="000568FB">
      <w:pPr>
        <w:spacing w:after="240"/>
        <w:ind w:left="1980" w:hanging="540"/>
      </w:pPr>
      <w:proofErr w:type="spellStart"/>
      <w:proofErr w:type="gramStart"/>
      <w:r>
        <w:t>Buiter</w:t>
      </w:r>
      <w:proofErr w:type="spellEnd"/>
      <w:r>
        <w:t>, W. (2013).</w:t>
      </w:r>
      <w:proofErr w:type="gramEnd"/>
      <w:r>
        <w:t xml:space="preserve"> “The Role of Central Banks in Financial Stability: How Has It Changed?”</w:t>
      </w:r>
      <w:r w:rsidRPr="00046EF6">
        <w:t xml:space="preserve"> </w:t>
      </w:r>
      <w:r>
        <w:t xml:space="preserve">in D. </w:t>
      </w:r>
      <w:proofErr w:type="spellStart"/>
      <w:r>
        <w:t>Evanoff</w:t>
      </w:r>
      <w:proofErr w:type="spellEnd"/>
      <w:r>
        <w:t xml:space="preserve"> et al (eds.) </w:t>
      </w:r>
      <w:r w:rsidRPr="00046EF6">
        <w:rPr>
          <w:i/>
        </w:rPr>
        <w:t>The Role of Central Banks in Financial Stability: How Has It Changed?</w:t>
      </w:r>
      <w:r>
        <w:t xml:space="preserve"> </w:t>
      </w:r>
      <w:proofErr w:type="gramStart"/>
      <w:r>
        <w:t>World Scientific Publishing.</w:t>
      </w:r>
      <w:proofErr w:type="gramEnd"/>
    </w:p>
    <w:p w:rsidR="00464833" w:rsidRPr="000568FB" w:rsidRDefault="00464833" w:rsidP="00464833">
      <w:pPr>
        <w:pStyle w:val="ListParagraph"/>
        <w:numPr>
          <w:ilvl w:val="0"/>
          <w:numId w:val="6"/>
        </w:numPr>
        <w:rPr>
          <w:i/>
        </w:rPr>
      </w:pPr>
      <w:r w:rsidRPr="000568FB">
        <w:rPr>
          <w:i/>
        </w:rPr>
        <w:t>Policy Debate and Reform</w:t>
      </w:r>
    </w:p>
    <w:p w:rsidR="00464833" w:rsidRDefault="00464833" w:rsidP="00067C9A">
      <w:pPr>
        <w:spacing w:after="0"/>
        <w:ind w:left="2070" w:hanging="630"/>
      </w:pPr>
      <w:r>
        <w:lastRenderedPageBreak/>
        <w:t xml:space="preserve">Adam, C. &amp; D. Vines (2009). </w:t>
      </w:r>
      <w:proofErr w:type="gramStart"/>
      <w:r>
        <w:t xml:space="preserve">“Remaking Macroeconomic Policy after the Global Financial Crisis: A Balance Sheet Approach,” </w:t>
      </w:r>
      <w:r w:rsidRPr="00464833">
        <w:rPr>
          <w:i/>
        </w:rPr>
        <w:t>Oxford Review of Economic Policy</w:t>
      </w:r>
      <w:r w:rsidR="00381F50">
        <w:t>,</w:t>
      </w:r>
      <w:r>
        <w:t xml:space="preserve"> 25(4).</w:t>
      </w:r>
      <w:proofErr w:type="gramEnd"/>
    </w:p>
    <w:p w:rsidR="00464833" w:rsidRDefault="00464833" w:rsidP="00067C9A">
      <w:pPr>
        <w:spacing w:after="0"/>
        <w:ind w:left="2070" w:hanging="630"/>
      </w:pPr>
      <w:proofErr w:type="spellStart"/>
      <w:r>
        <w:t>D’Arista</w:t>
      </w:r>
      <w:proofErr w:type="spellEnd"/>
      <w:r>
        <w:t xml:space="preserve">, J. &amp; K. Erturk (2010). </w:t>
      </w:r>
      <w:proofErr w:type="gramStart"/>
      <w:r>
        <w:t xml:space="preserve">“The Case for Currency Reform,” in </w:t>
      </w:r>
      <w:r w:rsidRPr="00464833">
        <w:rPr>
          <w:i/>
        </w:rPr>
        <w:t>Real World Economics Review</w:t>
      </w:r>
      <w:r>
        <w:t>, 55.</w:t>
      </w:r>
      <w:proofErr w:type="gramEnd"/>
    </w:p>
    <w:p w:rsidR="00464833" w:rsidRDefault="00464833" w:rsidP="00067C9A">
      <w:pPr>
        <w:spacing w:after="0"/>
        <w:ind w:left="2070" w:hanging="630"/>
        <w:rPr>
          <w:i/>
        </w:rPr>
      </w:pPr>
      <w:proofErr w:type="spellStart"/>
      <w:r>
        <w:t>Kotte</w:t>
      </w:r>
      <w:proofErr w:type="spellEnd"/>
      <w:r>
        <w:t xml:space="preserve">, D. (2010). </w:t>
      </w:r>
      <w:proofErr w:type="gramStart"/>
      <w:r>
        <w:t xml:space="preserve">“The Financial and Economic Crisis and Global Economic Governance,” in </w:t>
      </w:r>
      <w:proofErr w:type="spellStart"/>
      <w:r>
        <w:t>Dullien</w:t>
      </w:r>
      <w:proofErr w:type="spellEnd"/>
      <w:r>
        <w:t xml:space="preserve">, S., </w:t>
      </w:r>
      <w:proofErr w:type="spellStart"/>
      <w:r>
        <w:t>Kotte</w:t>
      </w:r>
      <w:proofErr w:type="spellEnd"/>
      <w:r>
        <w:t xml:space="preserve">, D., Marquez, A. &amp; J. </w:t>
      </w:r>
      <w:proofErr w:type="spellStart"/>
      <w:r>
        <w:t>Priewe</w:t>
      </w:r>
      <w:proofErr w:type="spellEnd"/>
      <w:r>
        <w:t xml:space="preserve"> (eds.) </w:t>
      </w:r>
      <w:r w:rsidRPr="00F722E0">
        <w:rPr>
          <w:i/>
        </w:rPr>
        <w:t>The Financial and Economic Crisis of 2009-2009 and Developing Countries.</w:t>
      </w:r>
      <w:proofErr w:type="gramEnd"/>
    </w:p>
    <w:p w:rsidR="00464833" w:rsidRDefault="00464833" w:rsidP="00067C9A">
      <w:pPr>
        <w:spacing w:after="0"/>
        <w:ind w:left="2070" w:hanging="630"/>
        <w:rPr>
          <w:i/>
        </w:rPr>
      </w:pPr>
      <w:r>
        <w:t xml:space="preserve">Marquez, A. (2010). </w:t>
      </w:r>
      <w:proofErr w:type="gramStart"/>
      <w:r>
        <w:t xml:space="preserve">“The Report of the </w:t>
      </w:r>
      <w:proofErr w:type="spellStart"/>
      <w:r>
        <w:t>Stiglitz</w:t>
      </w:r>
      <w:proofErr w:type="spellEnd"/>
      <w:r>
        <w:t xml:space="preserve"> Commission: A Summary and Comment,” in </w:t>
      </w:r>
      <w:proofErr w:type="spellStart"/>
      <w:r>
        <w:t>Dullien</w:t>
      </w:r>
      <w:proofErr w:type="spellEnd"/>
      <w:r>
        <w:t xml:space="preserve">, S., </w:t>
      </w:r>
      <w:proofErr w:type="spellStart"/>
      <w:r>
        <w:t>Kotte</w:t>
      </w:r>
      <w:proofErr w:type="spellEnd"/>
      <w:r>
        <w:t xml:space="preserve">, D., Marquez, A. &amp; J. </w:t>
      </w:r>
      <w:proofErr w:type="spellStart"/>
      <w:r>
        <w:t>Priewe</w:t>
      </w:r>
      <w:proofErr w:type="spellEnd"/>
      <w:r>
        <w:t xml:space="preserve"> (eds.) </w:t>
      </w:r>
      <w:r w:rsidRPr="00F722E0">
        <w:rPr>
          <w:i/>
        </w:rPr>
        <w:t>The Financial and Economic Crisis of 2009-2009 and Developing Countries.</w:t>
      </w:r>
      <w:proofErr w:type="gramEnd"/>
    </w:p>
    <w:p w:rsidR="00B93B2C" w:rsidRDefault="00B93B2C" w:rsidP="00067C9A">
      <w:pPr>
        <w:spacing w:after="0"/>
        <w:ind w:left="2070" w:hanging="630"/>
        <w:rPr>
          <w:i/>
        </w:rPr>
      </w:pPr>
    </w:p>
    <w:p w:rsidR="00B93B2C" w:rsidRDefault="00B93B2C" w:rsidP="00067C9A">
      <w:pPr>
        <w:spacing w:after="0"/>
        <w:ind w:left="2070" w:hanging="630"/>
      </w:pPr>
    </w:p>
    <w:sectPr w:rsidR="00B93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0242"/>
    <w:multiLevelType w:val="hybridMultilevel"/>
    <w:tmpl w:val="96CED37E"/>
    <w:lvl w:ilvl="0" w:tplc="B538B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3281C"/>
    <w:multiLevelType w:val="hybridMultilevel"/>
    <w:tmpl w:val="4A4A4FB6"/>
    <w:lvl w:ilvl="0" w:tplc="67BAA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A5D7F"/>
    <w:multiLevelType w:val="hybridMultilevel"/>
    <w:tmpl w:val="22848C48"/>
    <w:lvl w:ilvl="0" w:tplc="02E439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9643F"/>
    <w:multiLevelType w:val="hybridMultilevel"/>
    <w:tmpl w:val="5FC0D5CC"/>
    <w:lvl w:ilvl="0" w:tplc="1BB2D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16749E"/>
    <w:multiLevelType w:val="hybridMultilevel"/>
    <w:tmpl w:val="146A758E"/>
    <w:lvl w:ilvl="0" w:tplc="210AD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9051D"/>
    <w:multiLevelType w:val="hybridMultilevel"/>
    <w:tmpl w:val="89668806"/>
    <w:lvl w:ilvl="0" w:tplc="67E2D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0B"/>
    <w:rsid w:val="0000058D"/>
    <w:rsid w:val="00046EF6"/>
    <w:rsid w:val="000568FB"/>
    <w:rsid w:val="00067C9A"/>
    <w:rsid w:val="00156BF1"/>
    <w:rsid w:val="0022710B"/>
    <w:rsid w:val="00256178"/>
    <w:rsid w:val="002735C0"/>
    <w:rsid w:val="002D5B70"/>
    <w:rsid w:val="003248CE"/>
    <w:rsid w:val="00381F50"/>
    <w:rsid w:val="003B0C54"/>
    <w:rsid w:val="00464833"/>
    <w:rsid w:val="00494A49"/>
    <w:rsid w:val="004B25CC"/>
    <w:rsid w:val="004F500F"/>
    <w:rsid w:val="00504573"/>
    <w:rsid w:val="00582927"/>
    <w:rsid w:val="005F227D"/>
    <w:rsid w:val="005F52D3"/>
    <w:rsid w:val="006D32DF"/>
    <w:rsid w:val="0078582D"/>
    <w:rsid w:val="007C3FF1"/>
    <w:rsid w:val="00830F41"/>
    <w:rsid w:val="008D064E"/>
    <w:rsid w:val="009234A8"/>
    <w:rsid w:val="00966F97"/>
    <w:rsid w:val="009E70F2"/>
    <w:rsid w:val="00A00598"/>
    <w:rsid w:val="00A97B51"/>
    <w:rsid w:val="00AF2090"/>
    <w:rsid w:val="00B93B2C"/>
    <w:rsid w:val="00BF05B8"/>
    <w:rsid w:val="00C11BD4"/>
    <w:rsid w:val="00C377F5"/>
    <w:rsid w:val="00C5240B"/>
    <w:rsid w:val="00C60BAA"/>
    <w:rsid w:val="00CB0287"/>
    <w:rsid w:val="00CF3839"/>
    <w:rsid w:val="00D1574A"/>
    <w:rsid w:val="00E80F6E"/>
    <w:rsid w:val="00F2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B8"/>
    <w:pPr>
      <w:ind w:left="720"/>
      <w:contextualSpacing/>
    </w:pPr>
  </w:style>
  <w:style w:type="paragraph" w:styleId="BalloonText">
    <w:name w:val="Balloon Text"/>
    <w:basedOn w:val="Normal"/>
    <w:link w:val="BalloonTextChar"/>
    <w:uiPriority w:val="99"/>
    <w:semiHidden/>
    <w:unhideWhenUsed/>
    <w:rsid w:val="009E7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0F2"/>
    <w:rPr>
      <w:rFonts w:ascii="Tahoma" w:hAnsi="Tahoma" w:cs="Tahoma"/>
      <w:sz w:val="16"/>
      <w:szCs w:val="16"/>
    </w:rPr>
  </w:style>
  <w:style w:type="paragraph" w:styleId="BodyText3">
    <w:name w:val="Body Text 3"/>
    <w:basedOn w:val="Normal"/>
    <w:link w:val="BodyText3Char"/>
    <w:rsid w:val="00A97B5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97B51"/>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B8"/>
    <w:pPr>
      <w:ind w:left="720"/>
      <w:contextualSpacing/>
    </w:pPr>
  </w:style>
  <w:style w:type="paragraph" w:styleId="BalloonText">
    <w:name w:val="Balloon Text"/>
    <w:basedOn w:val="Normal"/>
    <w:link w:val="BalloonTextChar"/>
    <w:uiPriority w:val="99"/>
    <w:semiHidden/>
    <w:unhideWhenUsed/>
    <w:rsid w:val="009E7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0F2"/>
    <w:rPr>
      <w:rFonts w:ascii="Tahoma" w:hAnsi="Tahoma" w:cs="Tahoma"/>
      <w:sz w:val="16"/>
      <w:szCs w:val="16"/>
    </w:rPr>
  </w:style>
  <w:style w:type="paragraph" w:styleId="BodyText3">
    <w:name w:val="Body Text 3"/>
    <w:basedOn w:val="Normal"/>
    <w:link w:val="BodyText3Char"/>
    <w:rsid w:val="00A97B5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97B5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u0028478</dc:creator>
  <cp:lastModifiedBy>u0742807</cp:lastModifiedBy>
  <cp:revision>2</cp:revision>
  <cp:lastPrinted>2014-01-31T18:11:00Z</cp:lastPrinted>
  <dcterms:created xsi:type="dcterms:W3CDTF">2014-01-31T18:11:00Z</dcterms:created>
  <dcterms:modified xsi:type="dcterms:W3CDTF">2014-01-31T18:11:00Z</dcterms:modified>
</cp:coreProperties>
</file>